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04">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sz w:val="24"/>
          <w:szCs w:val="24"/>
          <w:rtl w:val="0"/>
        </w:rPr>
        <w:t xml:space="preserve">: Buyer to select whether or when Part A (Long Form Exit Management Requirements) or Part B (Short Form Exit Management Requirements-SaaS) should apply.]</w:t>
      </w:r>
    </w:p>
    <w:p w:rsidR="00000000" w:rsidDel="00000000" w:rsidP="00000000" w:rsidRDefault="00000000" w:rsidRPr="00000000" w14:paraId="00000005">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Part A: Long Form Exit Management Requirements</w:t>
      </w:r>
    </w:p>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0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9">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B">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D">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F">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11">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1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5">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7">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9">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B">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D">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F">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20">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21">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2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5">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7">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9">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A">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C">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0">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3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3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3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34">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9">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C">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4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4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4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4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4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7">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8">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9">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A">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B">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C">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50">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5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5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5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5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9">
      <w:pPr>
        <w:keepNext w:val="1"/>
        <w:keepLines w:val="1"/>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A">
      <w:pPr>
        <w:keepNext w:val="1"/>
        <w:keepLines w:val="1"/>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6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6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6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63">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6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5">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8">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9">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A">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C">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D">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70">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7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72">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73">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74">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A">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E">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8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8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8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83">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8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5">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6">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keepNext w:val="1"/>
        <w:spacing w:after="240" w:line="240" w:lineRule="auto"/>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Part B: Short Form Exit Management Requirements-SaaS</w:t>
      </w:r>
    </w:p>
    <w:p w:rsidR="00000000" w:rsidDel="00000000" w:rsidP="00000000" w:rsidRDefault="00000000" w:rsidRPr="00000000" w14:paraId="00000091">
      <w:pPr>
        <w:keepNext w:val="1"/>
        <w:spacing w:after="240" w:line="360" w:lineRule="auto"/>
        <w:ind w:left="283.4645669291337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numPr>
          <w:ilvl w:val="0"/>
          <w:numId w:val="1"/>
        </w:numPr>
        <w:spacing w:after="200" w:line="276"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Within 20 (twenty) working days of the Start Date the Supplier must provide the Buyer with an exit plan which ensures continuity of service and which the Supplier will follow.</w:t>
      </w:r>
    </w:p>
    <w:p w:rsidR="00000000" w:rsidDel="00000000" w:rsidP="00000000" w:rsidRDefault="00000000" w:rsidRPr="00000000" w14:paraId="00000093">
      <w:pPr>
        <w:numPr>
          <w:ilvl w:val="0"/>
          <w:numId w:val="1"/>
        </w:numPr>
        <w:spacing w:after="200" w:before="0" w:line="276"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Supplier must ensure that the exit plan clearly sets out the Supplier’s methodology for achieving an orderly transition of the Services from the Supplier to the Buyer or its Replacement Supplier at the expiry or if the contract ends before the scheduled expiry.</w:t>
      </w:r>
    </w:p>
    <w:p w:rsidR="00000000" w:rsidDel="00000000" w:rsidP="00000000" w:rsidRDefault="00000000" w:rsidRPr="00000000" w14:paraId="00000094">
      <w:pPr>
        <w:numPr>
          <w:ilvl w:val="0"/>
          <w:numId w:val="1"/>
        </w:numPr>
        <w:spacing w:after="200" w:before="0" w:line="276"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exit plan should set out full details of timescales, activities and roles and responsibilities of the Parties for:</w:t>
      </w:r>
    </w:p>
    <w:p w:rsidR="00000000" w:rsidDel="00000000" w:rsidP="00000000" w:rsidRDefault="00000000" w:rsidRPr="00000000" w14:paraId="00000095">
      <w:pPr>
        <w:numPr>
          <w:ilvl w:val="1"/>
          <w:numId w:val="1"/>
        </w:numPr>
        <w:spacing w:after="200" w:before="0" w:line="276" w:lineRule="auto"/>
        <w:ind w:left="144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transfer to the Buyer of any technical information, instructions, manuals and code reasonably required by the Buyer to enable a smooth migration from the Supplier</w:t>
      </w:r>
    </w:p>
    <w:p w:rsidR="00000000" w:rsidDel="00000000" w:rsidP="00000000" w:rsidRDefault="00000000" w:rsidRPr="00000000" w14:paraId="00000096">
      <w:pPr>
        <w:numPr>
          <w:ilvl w:val="1"/>
          <w:numId w:val="1"/>
        </w:numPr>
        <w:spacing w:after="200" w:before="0" w:line="276" w:lineRule="auto"/>
        <w:ind w:left="144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strategy for export and migration of Buyer data from the Supplier system to the Buyer or a Replacement Supplier, including conversion to open standards or other standards required by the Buyer</w:t>
      </w:r>
    </w:p>
    <w:p w:rsidR="00000000" w:rsidDel="00000000" w:rsidP="00000000" w:rsidRDefault="00000000" w:rsidRPr="00000000" w14:paraId="00000097">
      <w:pPr>
        <w:numPr>
          <w:ilvl w:val="1"/>
          <w:numId w:val="1"/>
        </w:numPr>
        <w:spacing w:after="200" w:before="0" w:line="276" w:lineRule="auto"/>
        <w:ind w:left="144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transfer of project- specific IPR items and other Buyer customisations, configurations and databases to the Buyer or a replacement supplier</w:t>
      </w:r>
    </w:p>
    <w:p w:rsidR="00000000" w:rsidDel="00000000" w:rsidP="00000000" w:rsidRDefault="00000000" w:rsidRPr="00000000" w14:paraId="00000098">
      <w:pPr>
        <w:numPr>
          <w:ilvl w:val="1"/>
          <w:numId w:val="1"/>
        </w:numPr>
        <w:spacing w:after="200" w:before="0" w:line="276" w:lineRule="auto"/>
        <w:ind w:left="144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testing and assurance strategy for exported Buyer data</w:t>
      </w:r>
    </w:p>
    <w:p w:rsidR="00000000" w:rsidDel="00000000" w:rsidP="00000000" w:rsidRDefault="00000000" w:rsidRPr="00000000" w14:paraId="00000099">
      <w:pPr>
        <w:numPr>
          <w:ilvl w:val="1"/>
          <w:numId w:val="1"/>
        </w:numPr>
        <w:spacing w:after="200" w:before="0" w:line="276" w:lineRule="auto"/>
        <w:ind w:left="144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if relevant, TUPE-related activity to comply with the TUPE regulations</w:t>
      </w:r>
    </w:p>
    <w:p w:rsidR="00000000" w:rsidDel="00000000" w:rsidP="00000000" w:rsidRDefault="00000000" w:rsidRPr="00000000" w14:paraId="0000009A">
      <w:pPr>
        <w:numPr>
          <w:ilvl w:val="1"/>
          <w:numId w:val="1"/>
        </w:numPr>
        <w:spacing w:after="200" w:before="0" w:line="276" w:lineRule="auto"/>
        <w:ind w:left="144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any other activities and information which are reasonably required to ensure continuity of Service during the exit period and an orderly transition</w:t>
      </w:r>
    </w:p>
    <w:p w:rsidR="00000000" w:rsidDel="00000000" w:rsidP="00000000" w:rsidRDefault="00000000" w:rsidRPr="00000000" w14:paraId="0000009B">
      <w:pPr>
        <w:numPr>
          <w:ilvl w:val="0"/>
          <w:numId w:val="1"/>
        </w:numPr>
        <w:spacing w:after="200" w:line="276"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When requested, the Supplier will help the Buyer to migrate the Services to a Replacement Supplier in line with the exit plan. This will be at the Supplier’s own expense if the Call-Off Contract ended before the Expiry Date due to Supplier cause. Otherwise any additional costs incurred by the Supplier in providing such assistance shall be subject to the Variation Procedure.</w:t>
      </w:r>
    </w:p>
    <w:p w:rsidR="00000000" w:rsidDel="00000000" w:rsidP="00000000" w:rsidRDefault="00000000" w:rsidRPr="00000000" w14:paraId="0000009C">
      <w:pPr>
        <w:keepNext w:val="1"/>
        <w:spacing w:after="240" w:line="240" w:lineRule="auto"/>
        <w:ind w:left="283.46456692913375" w:firstLine="0"/>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RM6195</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5">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644" w:hanging="359.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8KHUKGc4G6pFmTfOcakug89gdyg==">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